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EE6F3" w14:textId="22C81E5D" w:rsidR="00FF51B9" w:rsidRPr="00F831A6" w:rsidRDefault="002F1C96" w:rsidP="00F831A6">
      <w:pPr>
        <w:snapToGrid w:val="0"/>
        <w:jc w:val="center"/>
        <w:rPr>
          <w:rFonts w:ascii="UD デジタル 教科書体 N-R" w:eastAsia="UD デジタル 教科書体 N-R" w:hAnsi="ＭＳ 明朝"/>
          <w:sz w:val="32"/>
          <w:szCs w:val="32"/>
        </w:rPr>
      </w:pPr>
      <w:r w:rsidRPr="00F831A6">
        <w:rPr>
          <w:rFonts w:ascii="UD デジタル 教科書体 N-R" w:eastAsia="UD デジタル 教科書体 N-R" w:hAnsi="ＭＳ 明朝" w:hint="eastAsia"/>
          <w:sz w:val="32"/>
          <w:szCs w:val="32"/>
        </w:rPr>
        <w:t>未来づくり活動支援</w:t>
      </w:r>
      <w:r w:rsidR="00EC258F" w:rsidRPr="00F831A6">
        <w:rPr>
          <w:rFonts w:ascii="UD デジタル 教科書体 N-R" w:eastAsia="UD デジタル 教科書体 N-R" w:hAnsi="ＭＳ 明朝" w:hint="eastAsia"/>
          <w:sz w:val="32"/>
          <w:szCs w:val="32"/>
        </w:rPr>
        <w:t>事業選定基準等について</w:t>
      </w:r>
    </w:p>
    <w:p w14:paraId="3155F4E2" w14:textId="77777777" w:rsidR="005F16D4" w:rsidRPr="00F831A6" w:rsidRDefault="005F16D4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49A04B9B" w14:textId="77777777" w:rsidR="00EC258F" w:rsidRPr="00F831A6" w:rsidRDefault="00EC258F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（１）応募の受付</w:t>
      </w:r>
    </w:p>
    <w:p w14:paraId="25815A6B" w14:textId="57EA33E1" w:rsidR="00EC258F" w:rsidRPr="00F831A6" w:rsidRDefault="00EC258F" w:rsidP="00F831A6">
      <w:pPr>
        <w:snapToGrid w:val="0"/>
        <w:ind w:leftChars="200" w:left="42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①応募提出締切　令和</w:t>
      </w:r>
      <w:r w:rsidR="006B2253">
        <w:rPr>
          <w:rFonts w:ascii="UD デジタル 教科書体 N-R" w:eastAsia="UD デジタル 教科書体 N-R" w:hAnsi="ＭＳ 明朝" w:hint="eastAsia"/>
          <w:sz w:val="24"/>
          <w:szCs w:val="24"/>
        </w:rPr>
        <w:t>８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年</w:t>
      </w:r>
      <w:r w:rsidR="00F07B25">
        <w:rPr>
          <w:rFonts w:ascii="UD デジタル 教科書体 N-R" w:eastAsia="UD デジタル 教科書体 N-R" w:hAnsi="ＭＳ 明朝" w:hint="eastAsia"/>
          <w:sz w:val="24"/>
          <w:szCs w:val="24"/>
        </w:rPr>
        <w:t>７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月</w:t>
      </w:r>
      <w:r w:rsidR="006B2253">
        <w:rPr>
          <w:rFonts w:ascii="UD デジタル 教科書体 N-R" w:eastAsia="UD デジタル 教科書体 N-R" w:hAnsi="ＭＳ 明朝" w:hint="eastAsia"/>
          <w:sz w:val="24"/>
          <w:szCs w:val="24"/>
        </w:rPr>
        <w:t>31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日（</w:t>
      </w:r>
      <w:r w:rsidR="00E64807">
        <w:rPr>
          <w:rFonts w:ascii="UD デジタル 教科書体 N-R" w:eastAsia="UD デジタル 教科書体 N-R" w:hAnsi="ＭＳ 明朝" w:hint="eastAsia"/>
          <w:sz w:val="24"/>
          <w:szCs w:val="24"/>
        </w:rPr>
        <w:t>金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）17：00必着</w:t>
      </w:r>
    </w:p>
    <w:p w14:paraId="6E767DEE" w14:textId="77777777" w:rsidR="00EC258F" w:rsidRPr="00F831A6" w:rsidRDefault="00EC258F" w:rsidP="00F831A6">
      <w:pPr>
        <w:snapToGrid w:val="0"/>
        <w:ind w:leftChars="200" w:left="42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②</w:t>
      </w:r>
      <w:r w:rsidRPr="00F831A6">
        <w:rPr>
          <w:rFonts w:ascii="UD デジタル 教科書体 N-R" w:eastAsia="UD デジタル 教科書体 N-R" w:hAnsi="ＭＳ 明朝" w:hint="eastAsia"/>
          <w:spacing w:val="80"/>
          <w:kern w:val="0"/>
          <w:sz w:val="24"/>
          <w:szCs w:val="24"/>
          <w:fitText w:val="1440" w:id="-1755074048"/>
        </w:rPr>
        <w:t>提出場</w:t>
      </w:r>
      <w:r w:rsidRPr="00F831A6">
        <w:rPr>
          <w:rFonts w:ascii="UD デジタル 教科書体 N-R" w:eastAsia="UD デジタル 教科書体 N-R" w:hAnsi="ＭＳ 明朝" w:hint="eastAsia"/>
          <w:kern w:val="0"/>
          <w:sz w:val="24"/>
          <w:szCs w:val="24"/>
          <w:fitText w:val="1440" w:id="-1755074048"/>
        </w:rPr>
        <w:t>所</w:t>
      </w:r>
      <w:r w:rsidRPr="00F831A6">
        <w:rPr>
          <w:rFonts w:ascii="UD デジタル 教科書体 N-R" w:eastAsia="UD デジタル 教科書体 N-R" w:hAnsi="ＭＳ 明朝" w:hint="eastAsia"/>
          <w:kern w:val="0"/>
          <w:sz w:val="24"/>
          <w:szCs w:val="24"/>
        </w:rPr>
        <w:t xml:space="preserve">　津和野町役場つわの暮らし推進課</w:t>
      </w:r>
    </w:p>
    <w:p w14:paraId="52CA031A" w14:textId="489B3728" w:rsidR="00EC258F" w:rsidRPr="00F831A6" w:rsidRDefault="00EC258F" w:rsidP="00F831A6">
      <w:pPr>
        <w:snapToGrid w:val="0"/>
        <w:ind w:leftChars="200" w:left="2340" w:hangingChars="800" w:hanging="1920"/>
        <w:rPr>
          <w:rFonts w:ascii="UD デジタル 教科書体 N-R" w:eastAsia="UD デジタル 教科書体 N-R" w:hAnsi="ＭＳ 明朝"/>
          <w:kern w:val="0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③</w:t>
      </w:r>
      <w:r w:rsidRPr="00F831A6">
        <w:rPr>
          <w:rFonts w:ascii="UD デジタル 教科書体 N-R" w:eastAsia="UD デジタル 教科書体 N-R" w:hAnsi="ＭＳ 明朝" w:hint="eastAsia"/>
          <w:spacing w:val="80"/>
          <w:kern w:val="0"/>
          <w:sz w:val="24"/>
          <w:szCs w:val="24"/>
          <w:fitText w:val="1440" w:id="-1755074047"/>
        </w:rPr>
        <w:t>受付方</w:t>
      </w:r>
      <w:r w:rsidRPr="00F831A6">
        <w:rPr>
          <w:rFonts w:ascii="UD デジタル 教科書体 N-R" w:eastAsia="UD デジタル 教科書体 N-R" w:hAnsi="ＭＳ 明朝" w:hint="eastAsia"/>
          <w:kern w:val="0"/>
          <w:sz w:val="24"/>
          <w:szCs w:val="24"/>
          <w:fitText w:val="1440" w:id="-1755074047"/>
        </w:rPr>
        <w:t>法</w:t>
      </w:r>
      <w:r w:rsidRPr="00F831A6">
        <w:rPr>
          <w:rFonts w:ascii="UD デジタル 教科書体 N-R" w:eastAsia="UD デジタル 教科書体 N-R" w:hAnsi="ＭＳ 明朝" w:hint="eastAsia"/>
          <w:kern w:val="0"/>
          <w:sz w:val="24"/>
          <w:szCs w:val="24"/>
        </w:rPr>
        <w:t xml:space="preserve">　つわの暮らし推進課に、</w:t>
      </w:r>
      <w:r w:rsidR="0049662F">
        <w:rPr>
          <w:rFonts w:ascii="UD デジタル 教科書体 N-R" w:eastAsia="UD デジタル 教科書体 N-R" w:hAnsi="ＭＳ 明朝" w:hint="eastAsia"/>
          <w:kern w:val="0"/>
          <w:sz w:val="24"/>
          <w:szCs w:val="24"/>
        </w:rPr>
        <w:t>メール、</w:t>
      </w:r>
      <w:r w:rsidRPr="00F831A6">
        <w:rPr>
          <w:rFonts w:ascii="UD デジタル 教科書体 N-R" w:eastAsia="UD デジタル 教科書体 N-R" w:hAnsi="ＭＳ 明朝" w:hint="eastAsia"/>
          <w:kern w:val="0"/>
          <w:sz w:val="24"/>
          <w:szCs w:val="24"/>
        </w:rPr>
        <w:t>持参または郵送の何れかにより提出すること。</w:t>
      </w:r>
    </w:p>
    <w:p w14:paraId="2AE5EF2A" w14:textId="19C2C140" w:rsidR="00EC258F" w:rsidRPr="00F831A6" w:rsidRDefault="00EC258F" w:rsidP="00F831A6">
      <w:pPr>
        <w:snapToGrid w:val="0"/>
        <w:ind w:left="216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　　　　　　　※郵送の場合は、提出締切までに配達されたことが証明できる方法とし、令和</w:t>
      </w:r>
      <w:r w:rsidR="006B2253">
        <w:rPr>
          <w:rFonts w:ascii="UD デジタル 教科書体 N-R" w:eastAsia="UD デジタル 教科書体 N-R" w:hAnsi="ＭＳ 明朝" w:hint="eastAsia"/>
          <w:sz w:val="24"/>
          <w:szCs w:val="24"/>
        </w:rPr>
        <w:t>８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年</w:t>
      </w:r>
      <w:r w:rsidR="00F07B25">
        <w:rPr>
          <w:rFonts w:ascii="UD デジタル 教科書体 N-R" w:eastAsia="UD デジタル 教科書体 N-R" w:hAnsi="ＭＳ 明朝" w:hint="eastAsia"/>
          <w:sz w:val="24"/>
          <w:szCs w:val="24"/>
        </w:rPr>
        <w:t>７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月</w:t>
      </w:r>
      <w:r w:rsidR="006B2253">
        <w:rPr>
          <w:rFonts w:ascii="UD デジタル 教科書体 N-R" w:eastAsia="UD デジタル 教科書体 N-R" w:hAnsi="ＭＳ 明朝" w:hint="eastAsia"/>
          <w:sz w:val="24"/>
          <w:szCs w:val="24"/>
        </w:rPr>
        <w:t>31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日（</w:t>
      </w:r>
      <w:r w:rsidR="00E64807">
        <w:rPr>
          <w:rFonts w:ascii="UD デジタル 教科書体 N-R" w:eastAsia="UD デジタル 教科書体 N-R" w:hAnsi="ＭＳ 明朝" w:hint="eastAsia"/>
          <w:sz w:val="24"/>
          <w:szCs w:val="24"/>
        </w:rPr>
        <w:t>金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）までに必着のこと。なお、郵送中の事故に伴う損害に関し</w:t>
      </w:r>
      <w:r w:rsidR="005B4E38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、町は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一切の責任を負わない。</w:t>
      </w:r>
    </w:p>
    <w:p w14:paraId="5214D541" w14:textId="77777777" w:rsidR="00EC258F" w:rsidRPr="00F831A6" w:rsidRDefault="00EC258F" w:rsidP="00F831A6">
      <w:pPr>
        <w:snapToGrid w:val="0"/>
        <w:ind w:left="216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044604E5" w14:textId="77777777" w:rsidR="00EC258F" w:rsidRPr="00F831A6" w:rsidRDefault="00EC258F" w:rsidP="00F831A6">
      <w:pPr>
        <w:snapToGrid w:val="0"/>
        <w:ind w:left="216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（２）応募時の提出書類</w:t>
      </w:r>
    </w:p>
    <w:p w14:paraId="69FBF2A8" w14:textId="77777777" w:rsidR="007A77CA" w:rsidRDefault="009A1CD7" w:rsidP="007A77CA">
      <w:pPr>
        <w:snapToGrid w:val="0"/>
        <w:ind w:leftChars="200" w:left="258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①</w:t>
      </w:r>
      <w:r w:rsidR="007A77CA">
        <w:rPr>
          <w:rFonts w:ascii="UD デジタル 教科書体 N-R" w:eastAsia="UD デジタル 教科書体 N-R" w:hAnsi="ＭＳ 明朝" w:hint="eastAsia"/>
          <w:sz w:val="24"/>
          <w:szCs w:val="24"/>
        </w:rPr>
        <w:t>つわの未来づくり活動支援事業補助金交付申請書</w:t>
      </w:r>
    </w:p>
    <w:p w14:paraId="0D367659" w14:textId="30AEDCAB" w:rsidR="00DA1228" w:rsidRPr="00F831A6" w:rsidRDefault="007A77CA" w:rsidP="007A77CA">
      <w:pPr>
        <w:snapToGrid w:val="0"/>
        <w:ind w:leftChars="200" w:left="258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②</w:t>
      </w:r>
      <w:r w:rsidR="00DA1228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事業計画書（各事業内容、各事業費用が分かるもの）</w:t>
      </w:r>
    </w:p>
    <w:p w14:paraId="05384526" w14:textId="77777777" w:rsidR="007A77CA" w:rsidRDefault="007A77CA" w:rsidP="00F831A6">
      <w:pPr>
        <w:snapToGrid w:val="0"/>
        <w:ind w:leftChars="200" w:left="258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③収支予算書</w:t>
      </w:r>
    </w:p>
    <w:p w14:paraId="6439BA53" w14:textId="77777777" w:rsidR="007A77CA" w:rsidRDefault="007A77CA" w:rsidP="00F831A6">
      <w:pPr>
        <w:snapToGrid w:val="0"/>
        <w:ind w:leftChars="200" w:left="258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④団体構成員名簿（事業実施体制）</w:t>
      </w:r>
    </w:p>
    <w:p w14:paraId="70BDB786" w14:textId="4E0686EF" w:rsidR="003642BF" w:rsidRPr="00F831A6" w:rsidRDefault="007A77CA" w:rsidP="007A77CA">
      <w:pPr>
        <w:snapToGrid w:val="0"/>
        <w:ind w:leftChars="200" w:left="258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>
        <w:rPr>
          <w:rFonts w:ascii="UD デジタル 教科書体 N-R" w:eastAsia="UD デジタル 教科書体 N-R" w:hAnsi="ＭＳ 明朝" w:hint="eastAsia"/>
          <w:sz w:val="24"/>
          <w:szCs w:val="24"/>
        </w:rPr>
        <w:t>⑤</w:t>
      </w:r>
      <w:r w:rsidR="003642BF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定款等（団体の規約</w:t>
      </w:r>
      <w:r w:rsidR="00DA1228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又は会則等</w:t>
      </w:r>
      <w:r w:rsidR="003642BF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も可）</w:t>
      </w:r>
    </w:p>
    <w:p w14:paraId="393678CE" w14:textId="77777777" w:rsidR="00DA1228" w:rsidRPr="00F831A6" w:rsidRDefault="00DA1228" w:rsidP="00F831A6">
      <w:pPr>
        <w:snapToGrid w:val="0"/>
        <w:ind w:left="216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79C54AAD" w14:textId="77777777" w:rsidR="00DA1228" w:rsidRPr="00F831A6" w:rsidRDefault="00DA1228" w:rsidP="00F831A6">
      <w:pPr>
        <w:snapToGrid w:val="0"/>
        <w:ind w:left="2160" w:hangingChars="900" w:hanging="216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（３）選定基準</w:t>
      </w:r>
    </w:p>
    <w:p w14:paraId="20CED8DE" w14:textId="77777777" w:rsidR="00DA1228" w:rsidRPr="00F831A6" w:rsidRDefault="005F16D4" w:rsidP="00F831A6">
      <w:pPr>
        <w:snapToGrid w:val="0"/>
        <w:ind w:leftChars="200" w:left="660" w:hangingChars="100" w:hanging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①</w:t>
      </w:r>
      <w:r w:rsidR="00DA1228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事業については、</w:t>
      </w:r>
      <w:r w:rsidR="00767050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本補助金事業を活用し、</w:t>
      </w:r>
      <w:r w:rsidR="00DA1228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他団体で実施している同様な事業、類似した事業については、選定</w:t>
      </w:r>
      <w:r w:rsidR="00767050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しないこととする。そのため、（２）</w:t>
      </w:r>
      <w:r w:rsidR="000F5657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①</w:t>
      </w:r>
      <w:r w:rsidR="00767050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に示す事業計画書については、既実施事業との明確な違いが分かるよう事業内容等</w:t>
      </w:r>
      <w:r w:rsidR="0055372B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について</w:t>
      </w:r>
      <w:r w:rsidR="00767050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詳しく分かるものを提出すること。</w:t>
      </w:r>
    </w:p>
    <w:p w14:paraId="3A62869A" w14:textId="77777777" w:rsidR="0055372B" w:rsidRPr="00F831A6" w:rsidRDefault="0055372B" w:rsidP="00F831A6">
      <w:pPr>
        <w:snapToGrid w:val="0"/>
        <w:ind w:leftChars="200" w:left="42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70D2A67F" w14:textId="77777777" w:rsidR="005F16D4" w:rsidRPr="00F831A6" w:rsidRDefault="005F16D4" w:rsidP="00F831A6">
      <w:pPr>
        <w:snapToGrid w:val="0"/>
        <w:ind w:leftChars="200" w:left="42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②総合評価点60点以上を合格とする。</w:t>
      </w:r>
    </w:p>
    <w:p w14:paraId="5C4A4D32" w14:textId="77777777" w:rsidR="005F16D4" w:rsidRPr="00F831A6" w:rsidRDefault="005F16D4" w:rsidP="00F831A6">
      <w:pPr>
        <w:snapToGrid w:val="0"/>
        <w:ind w:leftChars="405" w:left="85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※選定基準については、別紙のとおり。</w:t>
      </w:r>
    </w:p>
    <w:p w14:paraId="29806922" w14:textId="77777777" w:rsidR="005F16D4" w:rsidRPr="00F831A6" w:rsidRDefault="005F16D4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3E4DFB65" w14:textId="6400278A" w:rsidR="00767050" w:rsidRPr="00F831A6" w:rsidRDefault="0055372B" w:rsidP="00F831A6">
      <w:pPr>
        <w:snapToGrid w:val="0"/>
        <w:ind w:left="240" w:hangingChars="100" w:hanging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●選定する事業及び対象費用は、</w:t>
      </w:r>
      <w:r w:rsidR="00F831A6">
        <w:rPr>
          <w:rFonts w:ascii="UD デジタル 教科書体 N-R" w:eastAsia="UD デジタル 教科書体 N-R" w:hAnsi="ＭＳ 明朝" w:hint="eastAsia"/>
          <w:sz w:val="24"/>
          <w:szCs w:val="24"/>
        </w:rPr>
        <w:t>「つわの未来づくり活動支援事業補助金交付要綱」</w:t>
      </w:r>
      <w:r w:rsidR="004873F4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（以下「</w:t>
      </w:r>
      <w:r w:rsidR="00F831A6">
        <w:rPr>
          <w:rFonts w:ascii="UD デジタル 教科書体 N-R" w:eastAsia="UD デジタル 教科書体 N-R" w:hAnsi="ＭＳ 明朝" w:hint="eastAsia"/>
          <w:sz w:val="24"/>
          <w:szCs w:val="24"/>
        </w:rPr>
        <w:t>要綱</w:t>
      </w:r>
      <w:r w:rsidR="004873F4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」という。）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に定めるものとする。</w:t>
      </w:r>
    </w:p>
    <w:p w14:paraId="50B21474" w14:textId="4BD8F079" w:rsidR="00767050" w:rsidRPr="00F831A6" w:rsidRDefault="0055372B" w:rsidP="00F831A6">
      <w:pPr>
        <w:snapToGrid w:val="0"/>
        <w:ind w:leftChars="200" w:left="660" w:hangingChars="100" w:hanging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①</w:t>
      </w:r>
      <w:r w:rsidR="00F831A6">
        <w:rPr>
          <w:rFonts w:ascii="UD デジタル 教科書体 N-R" w:eastAsia="UD デジタル 教科書体 N-R" w:hAnsi="ＭＳ 明朝" w:hint="eastAsia"/>
          <w:sz w:val="24"/>
          <w:szCs w:val="24"/>
        </w:rPr>
        <w:t>第２期まち・ひと・しごと創生津和野町総合戦略の基本目標に基づく</w:t>
      </w:r>
      <w:r w:rsidR="00767050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事業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について選定する。該当しない事業は、選定しない。</w:t>
      </w:r>
    </w:p>
    <w:p w14:paraId="5AC779E9" w14:textId="5C8E4233" w:rsidR="00767050" w:rsidRPr="00F831A6" w:rsidRDefault="0055372B" w:rsidP="00F831A6">
      <w:pPr>
        <w:snapToGrid w:val="0"/>
        <w:ind w:leftChars="100" w:left="210"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②対象経費については、要綱に定めるものとする。</w:t>
      </w:r>
    </w:p>
    <w:p w14:paraId="6D3C395A" w14:textId="77777777" w:rsidR="00F831A6" w:rsidRPr="00F831A6" w:rsidRDefault="00F831A6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3120AB53" w14:textId="77777777" w:rsidR="00767050" w:rsidRPr="00F831A6" w:rsidRDefault="00FF51B9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（４）評価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08"/>
        <w:gridCol w:w="5920"/>
      </w:tblGrid>
      <w:tr w:rsidR="00FF51B9" w:rsidRPr="00F831A6" w14:paraId="7F4E77ED" w14:textId="77777777" w:rsidTr="00FF51B9">
        <w:tc>
          <w:tcPr>
            <w:tcW w:w="2835" w:type="dxa"/>
            <w:shd w:val="clear" w:color="auto" w:fill="D5DCE4" w:themeFill="text2" w:themeFillTint="33"/>
          </w:tcPr>
          <w:p w14:paraId="4D594B18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t>評価（100％）</w:t>
            </w:r>
          </w:p>
        </w:tc>
        <w:tc>
          <w:tcPr>
            <w:tcW w:w="6751" w:type="dxa"/>
            <w:shd w:val="clear" w:color="auto" w:fill="D5DCE4" w:themeFill="text2" w:themeFillTint="33"/>
          </w:tcPr>
          <w:p w14:paraId="75A2BD8B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kern w:val="0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t>意味</w:t>
            </w:r>
          </w:p>
        </w:tc>
      </w:tr>
      <w:tr w:rsidR="00FF51B9" w:rsidRPr="00F831A6" w14:paraId="020E1C24" w14:textId="77777777" w:rsidTr="00FF51B9">
        <w:tc>
          <w:tcPr>
            <w:tcW w:w="2835" w:type="dxa"/>
          </w:tcPr>
          <w:p w14:paraId="005BB7D0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t>100～90％に対応</w:t>
            </w:r>
          </w:p>
        </w:tc>
        <w:tc>
          <w:tcPr>
            <w:tcW w:w="6751" w:type="dxa"/>
          </w:tcPr>
          <w:p w14:paraId="59A74BA7" w14:textId="77777777" w:rsidR="00FF51B9" w:rsidRPr="00F831A6" w:rsidRDefault="00FF51B9" w:rsidP="00F831A6">
            <w:pPr>
              <w:snapToGrid w:val="0"/>
              <w:rPr>
                <w:rFonts w:ascii="UD デジタル 教科書体 N-R" w:eastAsia="UD デジタル 教科書体 N-R" w:hAnsi="ＭＳ 明朝"/>
                <w:kern w:val="0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  <w:kern w:val="0"/>
              </w:rPr>
              <w:t>きわめて優秀と評価できる</w:t>
            </w:r>
          </w:p>
        </w:tc>
      </w:tr>
      <w:tr w:rsidR="00FF51B9" w:rsidRPr="00F831A6" w14:paraId="199CD21A" w14:textId="77777777" w:rsidTr="00FF51B9">
        <w:tc>
          <w:tcPr>
            <w:tcW w:w="2835" w:type="dxa"/>
          </w:tcPr>
          <w:p w14:paraId="725A441A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t>89～80％に対応</w:t>
            </w:r>
          </w:p>
        </w:tc>
        <w:tc>
          <w:tcPr>
            <w:tcW w:w="6751" w:type="dxa"/>
          </w:tcPr>
          <w:p w14:paraId="0BF38E0A" w14:textId="77777777" w:rsidR="00FF51B9" w:rsidRPr="00F831A6" w:rsidRDefault="00FF51B9" w:rsidP="00F831A6">
            <w:pPr>
              <w:snapToGrid w:val="0"/>
              <w:rPr>
                <w:rFonts w:ascii="UD デジタル 教科書体 N-R" w:eastAsia="UD デジタル 教科書体 N-R" w:hAnsi="ＭＳ 明朝"/>
                <w:kern w:val="0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  <w:kern w:val="0"/>
              </w:rPr>
              <w:t>優秀と評価できる</w:t>
            </w:r>
          </w:p>
        </w:tc>
      </w:tr>
      <w:tr w:rsidR="00FF51B9" w:rsidRPr="00F831A6" w14:paraId="7134A17A" w14:textId="77777777" w:rsidTr="00FF51B9">
        <w:tc>
          <w:tcPr>
            <w:tcW w:w="2835" w:type="dxa"/>
          </w:tcPr>
          <w:p w14:paraId="3034F953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t>79～70％に対応</w:t>
            </w:r>
          </w:p>
        </w:tc>
        <w:tc>
          <w:tcPr>
            <w:tcW w:w="6751" w:type="dxa"/>
          </w:tcPr>
          <w:p w14:paraId="7B4DC2BC" w14:textId="77777777" w:rsidR="00FF51B9" w:rsidRPr="00F831A6" w:rsidRDefault="00FF51B9" w:rsidP="00F831A6">
            <w:pPr>
              <w:snapToGrid w:val="0"/>
              <w:rPr>
                <w:rFonts w:ascii="UD デジタル 教科書体 N-R" w:eastAsia="UD デジタル 教科書体 N-R" w:hAnsi="ＭＳ 明朝"/>
                <w:kern w:val="0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  <w:kern w:val="0"/>
              </w:rPr>
              <w:t>一応のレベルに達していると評価できる</w:t>
            </w:r>
          </w:p>
        </w:tc>
      </w:tr>
      <w:tr w:rsidR="00FF51B9" w:rsidRPr="00F831A6" w14:paraId="0CD25E64" w14:textId="77777777" w:rsidTr="00FF51B9">
        <w:tc>
          <w:tcPr>
            <w:tcW w:w="2835" w:type="dxa"/>
          </w:tcPr>
          <w:p w14:paraId="0B23B6D7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lastRenderedPageBreak/>
              <w:t>69～60％に対応</w:t>
            </w:r>
          </w:p>
        </w:tc>
        <w:tc>
          <w:tcPr>
            <w:tcW w:w="6751" w:type="dxa"/>
          </w:tcPr>
          <w:p w14:paraId="742A10C5" w14:textId="77777777" w:rsidR="00FF51B9" w:rsidRPr="00F831A6" w:rsidRDefault="00FF51B9" w:rsidP="00F831A6">
            <w:pPr>
              <w:snapToGrid w:val="0"/>
              <w:rPr>
                <w:rFonts w:ascii="UD デジタル 教科書体 N-R" w:eastAsia="UD デジタル 教科書体 N-R" w:hAnsi="ＭＳ 明朝"/>
                <w:kern w:val="0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  <w:kern w:val="0"/>
              </w:rPr>
              <w:t>不十分なところもあるが、最低限度のレベルを達成している</w:t>
            </w:r>
          </w:p>
        </w:tc>
      </w:tr>
      <w:tr w:rsidR="00FF51B9" w:rsidRPr="00F831A6" w14:paraId="2E7EABB3" w14:textId="77777777" w:rsidTr="00FF51B9">
        <w:tc>
          <w:tcPr>
            <w:tcW w:w="2835" w:type="dxa"/>
          </w:tcPr>
          <w:p w14:paraId="7D7BC983" w14:textId="77777777" w:rsidR="00FF51B9" w:rsidRPr="00F831A6" w:rsidRDefault="00FF51B9" w:rsidP="00F831A6">
            <w:pPr>
              <w:snapToGrid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</w:rPr>
              <w:t>59％以下に対応</w:t>
            </w:r>
          </w:p>
        </w:tc>
        <w:tc>
          <w:tcPr>
            <w:tcW w:w="6751" w:type="dxa"/>
          </w:tcPr>
          <w:p w14:paraId="10EEA6B8" w14:textId="77777777" w:rsidR="00FF51B9" w:rsidRPr="00F831A6" w:rsidRDefault="00FF51B9" w:rsidP="00F831A6">
            <w:pPr>
              <w:snapToGrid w:val="0"/>
              <w:rPr>
                <w:rFonts w:ascii="UD デジタル 教科書体 N-R" w:eastAsia="UD デジタル 教科書体 N-R" w:hAnsi="ＭＳ 明朝"/>
                <w:kern w:val="0"/>
              </w:rPr>
            </w:pPr>
            <w:r w:rsidRPr="00F831A6">
              <w:rPr>
                <w:rFonts w:ascii="UD デジタル 教科書体 N-R" w:eastAsia="UD デジタル 教科書体 N-R" w:hAnsi="ＭＳ 明朝" w:hint="eastAsia"/>
                <w:kern w:val="0"/>
              </w:rPr>
              <w:t>最低限度のレベルを達成していない</w:t>
            </w:r>
          </w:p>
        </w:tc>
      </w:tr>
    </w:tbl>
    <w:p w14:paraId="4C8DB71C" w14:textId="77777777" w:rsidR="005F16D4" w:rsidRPr="00F831A6" w:rsidRDefault="005F16D4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73B69924" w14:textId="77777777" w:rsidR="001521F6" w:rsidRPr="00F831A6" w:rsidRDefault="001521F6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（５）結果の通知</w:t>
      </w:r>
    </w:p>
    <w:p w14:paraId="3F1DF077" w14:textId="77777777" w:rsidR="001521F6" w:rsidRPr="00F831A6" w:rsidRDefault="001521F6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 xml:space="preserve">　選定結果（得点、順位）については、応募者に通知する。</w:t>
      </w:r>
    </w:p>
    <w:p w14:paraId="7A9EDEC4" w14:textId="77777777" w:rsidR="001521F6" w:rsidRPr="00F831A6" w:rsidRDefault="001521F6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3BD507BB" w14:textId="77777777" w:rsidR="00FF51B9" w:rsidRPr="00F831A6" w:rsidRDefault="00FF51B9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（</w:t>
      </w:r>
      <w:r w:rsidR="001521F6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６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）</w:t>
      </w:r>
      <w:r w:rsidR="001521F6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事業費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の配分</w:t>
      </w:r>
    </w:p>
    <w:p w14:paraId="76965497" w14:textId="77777777" w:rsidR="00FF51B9" w:rsidRPr="00F831A6" w:rsidRDefault="001521F6" w:rsidP="00F831A6">
      <w:pPr>
        <w:snapToGrid w:val="0"/>
        <w:ind w:left="240" w:hangingChars="100" w:hanging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①</w:t>
      </w:r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選定基準を基に60点以上を獲得した者の内、最も高い得点を獲得した者から順に、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町と事業費</w:t>
      </w:r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配分の協議を行う。</w:t>
      </w:r>
    </w:p>
    <w:p w14:paraId="003825E3" w14:textId="431CD6D0" w:rsidR="00FF51B9" w:rsidRPr="00F831A6" w:rsidRDefault="001521F6" w:rsidP="00F831A6">
      <w:pPr>
        <w:snapToGrid w:val="0"/>
        <w:ind w:left="240" w:hangingChars="100" w:hanging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②</w:t>
      </w:r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令和</w:t>
      </w:r>
      <w:r w:rsidR="006B2253">
        <w:rPr>
          <w:rFonts w:ascii="UD デジタル 教科書体 N-R" w:eastAsia="UD デジタル 教科書体 N-R" w:hAnsi="ＭＳ 明朝" w:hint="eastAsia"/>
          <w:sz w:val="24"/>
          <w:szCs w:val="24"/>
        </w:rPr>
        <w:t>８</w:t>
      </w:r>
      <w:bookmarkStart w:id="0" w:name="_GoBack"/>
      <w:bookmarkEnd w:id="0"/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年度においては、予算枠</w:t>
      </w:r>
      <w:r w:rsidR="00AA1DE0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2</w:t>
      </w:r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00万円に対し、最も高得点を獲得した者の事業必要経費に係る協議を実施し、事業費確定後、残った予算に対し、獲得得点順に協議を実施し、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事業費の</w:t>
      </w:r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配分を実施する。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予算枠が無くなった時点で配分調整は終了する。</w:t>
      </w:r>
    </w:p>
    <w:p w14:paraId="051220DA" w14:textId="77777777" w:rsidR="00FF51B9" w:rsidRPr="00F831A6" w:rsidRDefault="001521F6" w:rsidP="00F831A6">
      <w:pPr>
        <w:snapToGrid w:val="0"/>
        <w:ind w:left="240" w:hangingChars="100" w:hanging="240"/>
        <w:rPr>
          <w:rFonts w:ascii="UD デジタル 教科書体 N-R" w:eastAsia="UD デジタル 教科書体 N-R" w:hAnsi="ＭＳ 明朝"/>
          <w:sz w:val="24"/>
          <w:szCs w:val="24"/>
        </w:rPr>
      </w:pP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③</w:t>
      </w:r>
      <w:r w:rsidR="00FF51B9"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獲得得点</w:t>
      </w:r>
      <w:r w:rsidRPr="00F831A6">
        <w:rPr>
          <w:rFonts w:ascii="UD デジタル 教科書体 N-R" w:eastAsia="UD デジタル 教科書体 N-R" w:hAnsi="ＭＳ 明朝" w:hint="eastAsia"/>
          <w:sz w:val="24"/>
          <w:szCs w:val="24"/>
        </w:rPr>
        <w:t>高位の者から町と協議を実施するが、残予算では、事業実施等できないと応募者が判断した場合には、次の順位の者と協議を実施し、予算の配分を行う。</w:t>
      </w:r>
    </w:p>
    <w:p w14:paraId="23830531" w14:textId="77777777" w:rsidR="00FF51B9" w:rsidRPr="00F831A6" w:rsidRDefault="00FF51B9" w:rsidP="00F831A6">
      <w:pPr>
        <w:snapToGrid w:val="0"/>
        <w:rPr>
          <w:rFonts w:ascii="UD デジタル 教科書体 N-R" w:eastAsia="UD デジタル 教科書体 N-R" w:hAnsi="ＭＳ 明朝"/>
          <w:sz w:val="24"/>
          <w:szCs w:val="24"/>
        </w:rPr>
      </w:pPr>
    </w:p>
    <w:p w14:paraId="746B0146" w14:textId="77777777" w:rsidR="00FF51B9" w:rsidRDefault="00FF51B9" w:rsidP="00767050">
      <w:pPr>
        <w:rPr>
          <w:rFonts w:ascii="ＭＳ 明朝" w:eastAsia="ＭＳ 明朝" w:hAnsi="ＭＳ 明朝"/>
          <w:sz w:val="24"/>
          <w:szCs w:val="24"/>
        </w:rPr>
      </w:pPr>
    </w:p>
    <w:p w14:paraId="481CD799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1587DFE0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18A45F4E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74E8FF63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299A60D1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2281027A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4A48BFE9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63F73352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1D78BD4A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3C0273F5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4527610F" w14:textId="77777777" w:rsidR="001521F6" w:rsidRDefault="001521F6" w:rsidP="00767050">
      <w:pPr>
        <w:rPr>
          <w:rFonts w:ascii="ＭＳ 明朝" w:eastAsia="ＭＳ 明朝" w:hAnsi="ＭＳ 明朝"/>
          <w:sz w:val="24"/>
          <w:szCs w:val="24"/>
        </w:rPr>
      </w:pPr>
    </w:p>
    <w:p w14:paraId="12C35B3D" w14:textId="77777777" w:rsidR="00FF51B9" w:rsidRDefault="00FF51B9" w:rsidP="00767050">
      <w:pPr>
        <w:rPr>
          <w:rFonts w:ascii="ＭＳ 明朝" w:eastAsia="ＭＳ 明朝" w:hAnsi="ＭＳ 明朝"/>
          <w:sz w:val="24"/>
          <w:szCs w:val="24"/>
        </w:rPr>
      </w:pPr>
    </w:p>
    <w:p w14:paraId="6B8FDE04" w14:textId="77777777" w:rsidR="00FF51B9" w:rsidRDefault="00FF51B9" w:rsidP="00767050">
      <w:pPr>
        <w:rPr>
          <w:rFonts w:ascii="ＭＳ 明朝" w:eastAsia="ＭＳ 明朝" w:hAnsi="ＭＳ 明朝"/>
          <w:sz w:val="24"/>
          <w:szCs w:val="24"/>
        </w:rPr>
      </w:pPr>
    </w:p>
    <w:p w14:paraId="09453BC3" w14:textId="77777777" w:rsidR="009A1CD7" w:rsidRPr="00FF51B9" w:rsidRDefault="009A1CD7" w:rsidP="00767050">
      <w:pPr>
        <w:rPr>
          <w:rFonts w:ascii="ＭＳ 明朝" w:eastAsia="ＭＳ 明朝" w:hAnsi="ＭＳ 明朝"/>
          <w:sz w:val="24"/>
          <w:szCs w:val="24"/>
        </w:rPr>
      </w:pPr>
    </w:p>
    <w:p w14:paraId="40126881" w14:textId="77777777" w:rsidR="00FF51B9" w:rsidRDefault="00FF51B9" w:rsidP="00767050">
      <w:pPr>
        <w:rPr>
          <w:rFonts w:ascii="ＭＳ 明朝" w:eastAsia="ＭＳ 明朝" w:hAnsi="ＭＳ 明朝"/>
          <w:sz w:val="24"/>
          <w:szCs w:val="24"/>
        </w:rPr>
      </w:pPr>
    </w:p>
    <w:p w14:paraId="1D3FED57" w14:textId="77777777" w:rsidR="00767050" w:rsidRDefault="00767050" w:rsidP="00767050">
      <w:pPr>
        <w:rPr>
          <w:rFonts w:ascii="ＭＳ 明朝" w:eastAsia="ＭＳ 明朝" w:hAnsi="ＭＳ 明朝"/>
          <w:sz w:val="24"/>
          <w:szCs w:val="24"/>
        </w:rPr>
      </w:pPr>
    </w:p>
    <w:p w14:paraId="2160AFA7" w14:textId="77777777" w:rsidR="00F831A6" w:rsidRDefault="00F831A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3880D93B" w14:textId="3A712336" w:rsidR="00767050" w:rsidRDefault="00767050" w:rsidP="0076705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421A6FDF" w14:textId="77777777" w:rsidR="00767050" w:rsidRDefault="00767050" w:rsidP="0076705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提案内容の選定基準</w:t>
      </w:r>
    </w:p>
    <w:p w14:paraId="0B4283C6" w14:textId="77777777" w:rsidR="00767050" w:rsidRDefault="00767050" w:rsidP="0076705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5"/>
        <w:gridCol w:w="5822"/>
        <w:gridCol w:w="671"/>
        <w:gridCol w:w="916"/>
        <w:gridCol w:w="916"/>
      </w:tblGrid>
      <w:tr w:rsidR="00767050" w:rsidRPr="00EE0833" w14:paraId="04A986CA" w14:textId="77777777" w:rsidTr="002B5BB9">
        <w:tc>
          <w:tcPr>
            <w:tcW w:w="616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1C5FA88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項目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8DE56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点数</w:t>
            </w:r>
          </w:p>
        </w:tc>
        <w:tc>
          <w:tcPr>
            <w:tcW w:w="1832" w:type="dxa"/>
            <w:gridSpan w:val="2"/>
            <w:tcBorders>
              <w:left w:val="single" w:sz="4" w:space="0" w:color="auto"/>
            </w:tcBorders>
            <w:vAlign w:val="center"/>
          </w:tcPr>
          <w:p w14:paraId="01E68C85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評価</w:t>
            </w:r>
          </w:p>
        </w:tc>
      </w:tr>
      <w:tr w:rsidR="00767050" w:rsidRPr="00EE0833" w14:paraId="4E30814B" w14:textId="77777777" w:rsidTr="002B5BB9">
        <w:tc>
          <w:tcPr>
            <w:tcW w:w="34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96E6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EA23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評価の視点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FD56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7DB3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14:paraId="78DCEB0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点数</w:t>
            </w:r>
          </w:p>
        </w:tc>
      </w:tr>
      <w:tr w:rsidR="00767050" w14:paraId="6A6BC12F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D04DF" w14:textId="35F14EAF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１　</w:t>
            </w:r>
            <w:r w:rsidR="00EB43E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まち・ひと・しごと</w:t>
            </w:r>
            <w:r w:rsidR="006416CA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創生津和野町総合戦略との関係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0A4B1" w14:textId="77777777" w:rsidR="00767050" w:rsidRPr="004873F4" w:rsidRDefault="002B5BB9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20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17A8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1B175D87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70B9A45F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DF0A4E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3133" w14:textId="0DC30918" w:rsidR="00767050" w:rsidRPr="004873F4" w:rsidRDefault="00767050" w:rsidP="00FF51B9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①　</w:t>
            </w:r>
            <w:r w:rsidR="006416C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総合戦略の基本目標と合致しているか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235B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2BE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7AC84986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AB439C" w14:paraId="23C4DF38" w14:textId="77777777" w:rsidTr="00AB439C">
        <w:trPr>
          <w:trHeight w:val="389"/>
        </w:trPr>
        <w:tc>
          <w:tcPr>
            <w:tcW w:w="345" w:type="dxa"/>
            <w:tcBorders>
              <w:top w:val="nil"/>
              <w:right w:val="single" w:sz="4" w:space="0" w:color="auto"/>
            </w:tcBorders>
            <w:vAlign w:val="center"/>
          </w:tcPr>
          <w:p w14:paraId="1CE3B2BF" w14:textId="77777777" w:rsidR="00AB439C" w:rsidRPr="004873F4" w:rsidRDefault="00AB439C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D01F5" w14:textId="4E6A74A9" w:rsidR="00AB439C" w:rsidRPr="004873F4" w:rsidRDefault="00AB439C" w:rsidP="00FF51B9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②　事業が基本目標の実現に寄与すると期待できるか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F32A" w14:textId="77777777" w:rsidR="00AB439C" w:rsidRPr="004873F4" w:rsidRDefault="00AB439C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5FF5" w14:textId="77777777" w:rsidR="00AB439C" w:rsidRPr="004873F4" w:rsidRDefault="00AB439C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21A721B5" w14:textId="77777777" w:rsidR="00AB439C" w:rsidRPr="004873F4" w:rsidRDefault="00AB439C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517D2455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68FDE" w14:textId="3A6CDD99" w:rsidR="00EE0365" w:rsidRPr="004873F4" w:rsidRDefault="00EE0365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２　</w:t>
            </w: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執行体制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A0919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5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BC891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4A2A3D44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3AF70B5B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E7A76C" w14:textId="77777777" w:rsidR="00EE0365" w:rsidRPr="004873F4" w:rsidRDefault="00EE0365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AC34" w14:textId="77777777" w:rsidR="00EE0365" w:rsidRPr="004873F4" w:rsidRDefault="00EE0365" w:rsidP="00FF51B9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①　責任者を含め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団体構成員の配置により各事業</w:t>
            </w: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に必要な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人員</w:t>
            </w: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が配置されているか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13C28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885A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2A84928E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1E315909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B7D9F" w14:textId="7AB34B91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３　</w:t>
            </w:r>
            <w:r w:rsidR="008536C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事業の</w:t>
            </w:r>
            <w:r w:rsidR="00F07B25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地域</w:t>
            </w:r>
            <w:r w:rsidR="008536C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性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F154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1</w:t>
            </w:r>
            <w:r w:rsidR="00EE0365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5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25F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7DCF8BC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0B8C7061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3173BA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8F06" w14:textId="33F5EF5C" w:rsidR="00767050" w:rsidRPr="00F07B25" w:rsidRDefault="00767050" w:rsidP="00F07B2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F07B25"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具体的な</w:t>
            </w:r>
            <w:r w:rsid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地域課題に対応した内容であるか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8949A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8D00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2322DD3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8536C0" w14:paraId="79496D19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BFE8F8" w14:textId="77777777" w:rsidR="008536C0" w:rsidRPr="004873F4" w:rsidRDefault="008536C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09E" w14:textId="4AE2FF66" w:rsidR="008536C0" w:rsidRPr="00F07B25" w:rsidRDefault="008536C0" w:rsidP="00F07B2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F07B25"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地域の実情</w:t>
            </w:r>
            <w:r w:rsid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や住民ニーズに即した内容であるか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0D506" w14:textId="77777777" w:rsidR="008536C0" w:rsidRPr="004873F4" w:rsidRDefault="008536C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290A" w14:textId="77777777" w:rsidR="008536C0" w:rsidRPr="004873F4" w:rsidRDefault="008536C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793820A6" w14:textId="77777777" w:rsidR="008536C0" w:rsidRPr="004873F4" w:rsidRDefault="008536C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1896A44F" w14:textId="77777777" w:rsidTr="002B5BB9">
        <w:tc>
          <w:tcPr>
            <w:tcW w:w="345" w:type="dxa"/>
            <w:tcBorders>
              <w:top w:val="nil"/>
              <w:right w:val="single" w:sz="4" w:space="0" w:color="auto"/>
            </w:tcBorders>
            <w:vAlign w:val="center"/>
          </w:tcPr>
          <w:p w14:paraId="10EB4E66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4B57" w14:textId="6C714E4D" w:rsidR="00767050" w:rsidRPr="00F07B25" w:rsidRDefault="00767050" w:rsidP="00F07B2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F07B25"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地域資源や</w:t>
            </w:r>
            <w:r w:rsid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地域の魅力を活用した内容であるか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097E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0C26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3EFA04CB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39B1B372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A25E4" w14:textId="24A805D0" w:rsidR="00EE0365" w:rsidRPr="004873F4" w:rsidRDefault="00EE0365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４　</w:t>
            </w:r>
            <w:r w:rsidR="00F07B25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事業の公益性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88B2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10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11F1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0B5E3F5E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08359BF8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3DDC07" w14:textId="77777777" w:rsidR="00EE0365" w:rsidRPr="004873F4" w:rsidRDefault="00EE0365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C75" w14:textId="77777777" w:rsidR="00EE0365" w:rsidRPr="00F07B25" w:rsidRDefault="00EE0365" w:rsidP="00F07B2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F07B25"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地域社会に貢献する</w:t>
            </w:r>
            <w:r w:rsid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  <w:r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であるか</w:t>
            </w:r>
          </w:p>
          <w:p w14:paraId="6D2EDA8C" w14:textId="6DFA22F6" w:rsidR="00F07B25" w:rsidRPr="00F07B25" w:rsidRDefault="00F07B25" w:rsidP="00F07B25">
            <w:pPr>
              <w:pStyle w:val="a4"/>
              <w:autoSpaceDE w:val="0"/>
              <w:autoSpaceDN w:val="0"/>
              <w:adjustRightInd w:val="0"/>
              <w:ind w:leftChars="0" w:left="36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（不特定多数の人々の利益に繋がる事業であるか）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1D2D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2BF9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72BAED7C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168429B8" w14:textId="77777777" w:rsidTr="002B5BB9">
        <w:tc>
          <w:tcPr>
            <w:tcW w:w="34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3E8E" w14:textId="77777777" w:rsidR="00EE0365" w:rsidRPr="004873F4" w:rsidRDefault="00EE0365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FAD" w14:textId="0813675C" w:rsidR="00EE0365" w:rsidRPr="00F07B25" w:rsidRDefault="00EE0365" w:rsidP="00F07B2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F07B25"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地域社会、</w:t>
            </w:r>
            <w:r w:rsid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町民にとって必要性、重要性が高い内容であるか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9B44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5B1F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17AE5874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1CCC9A32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12792" w14:textId="77777777" w:rsidR="00EE0365" w:rsidRPr="004873F4" w:rsidRDefault="00EE0365" w:rsidP="00FF51B9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５　事業費の妥当性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00ED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10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6BB9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2BF97A11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EE0365" w14:paraId="4471D35D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443698" w14:textId="77777777" w:rsidR="00EE0365" w:rsidRPr="004873F4" w:rsidRDefault="00EE0365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5B89" w14:textId="17C947AE" w:rsidR="00EE0365" w:rsidRPr="00F07B25" w:rsidRDefault="00F07B25" w:rsidP="00F07B2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EE0365" w:rsidRPr="00F07B2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事業内容に対し事業費の積み上げは適切か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430E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30FA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5407A5D6" w14:textId="77777777" w:rsidR="00EE0365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51E67174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681B5" w14:textId="77777777" w:rsidR="00767050" w:rsidRPr="004873F4" w:rsidRDefault="002B5BB9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６</w:t>
            </w:r>
            <w:r w:rsidR="00767050"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="008536C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自立性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DE50" w14:textId="77777777" w:rsidR="00767050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20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6992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76E1DCF4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2110F323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9B4FE0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AF5" w14:textId="77777777" w:rsidR="00767050" w:rsidRPr="004873F4" w:rsidRDefault="00767050" w:rsidP="00FF51B9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①　</w:t>
            </w:r>
            <w:r w:rsidR="008536C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本補助金</w:t>
            </w:r>
            <w:r w:rsidR="00C65CA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が終了した後、継続できる事業・団体であるか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36E5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79329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3025469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5AD2084F" w14:textId="77777777" w:rsidTr="002B5BB9">
        <w:tc>
          <w:tcPr>
            <w:tcW w:w="345" w:type="dxa"/>
            <w:tcBorders>
              <w:top w:val="nil"/>
              <w:right w:val="single" w:sz="4" w:space="0" w:color="auto"/>
            </w:tcBorders>
            <w:vAlign w:val="center"/>
          </w:tcPr>
          <w:p w14:paraId="224C5631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34C6C" w14:textId="77777777" w:rsidR="00767050" w:rsidRPr="004873F4" w:rsidRDefault="00767050" w:rsidP="00FF51B9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②　</w:t>
            </w:r>
            <w:r w:rsidR="00C65CA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自立に向けて、一般市民や他の団体、企業などのネットワークを広げ、連携し、巻き込んでいく視点があるか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7B508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E006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27574A8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17B45634" w14:textId="77777777" w:rsidTr="002B5BB9">
        <w:tc>
          <w:tcPr>
            <w:tcW w:w="61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5A98C" w14:textId="77777777" w:rsidR="00767050" w:rsidRPr="004873F4" w:rsidRDefault="002B5BB9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７</w:t>
            </w:r>
            <w:r w:rsidR="00767050"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="00C65C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発展性</w:t>
            </w:r>
          </w:p>
        </w:tc>
        <w:tc>
          <w:tcPr>
            <w:tcW w:w="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63A72" w14:textId="77777777" w:rsidR="00767050" w:rsidRPr="004873F4" w:rsidRDefault="00EE0365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20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1867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4873F4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％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</w:tcBorders>
            <w:vAlign w:val="center"/>
          </w:tcPr>
          <w:p w14:paraId="34AE2453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48A2D630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5BB864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DAAC" w14:textId="77777777" w:rsidR="00767050" w:rsidRPr="004873F4" w:rsidRDefault="00767050" w:rsidP="00FF51B9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①　</w:t>
            </w:r>
            <w:r w:rsidR="00C65CA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発想、着眼点、手法などに先駆性や独創性、工夫があり、今後の事業展開に期待がもてる事業か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EC8C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19E8F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29BCBCC7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634ADD98" w14:textId="77777777" w:rsidTr="002B5BB9"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FFDC9C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919" w14:textId="77777777" w:rsidR="00767050" w:rsidRPr="004873F4" w:rsidRDefault="00767050" w:rsidP="00FF51B9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②　</w:t>
            </w:r>
            <w:r w:rsidR="00C65CA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今後継続し、定着させていくことを目指す事業か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B869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764E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769C3FDC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767050" w14:paraId="65793377" w14:textId="77777777" w:rsidTr="002B5BB9">
        <w:tc>
          <w:tcPr>
            <w:tcW w:w="345" w:type="dxa"/>
            <w:tcBorders>
              <w:top w:val="nil"/>
              <w:right w:val="single" w:sz="4" w:space="0" w:color="auto"/>
            </w:tcBorders>
            <w:vAlign w:val="center"/>
          </w:tcPr>
          <w:p w14:paraId="4A240807" w14:textId="77777777" w:rsidR="00767050" w:rsidRPr="004873F4" w:rsidRDefault="00767050" w:rsidP="00FF51B9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4DF64" w14:textId="77777777" w:rsidR="00767050" w:rsidRPr="004873F4" w:rsidRDefault="00767050" w:rsidP="00C65CAB">
            <w:pPr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873F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③　</w:t>
            </w:r>
            <w:r w:rsidR="00C65CA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申請内容がイベントや調査などの単発型事業の場合でも、その後の展開に有効であることが期待できるか</w:t>
            </w: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AD9EB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D701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14:paraId="2782F18B" w14:textId="77777777" w:rsidR="00767050" w:rsidRPr="004873F4" w:rsidRDefault="00767050" w:rsidP="00FF51B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14:paraId="75B8517E" w14:textId="77777777" w:rsidR="00767050" w:rsidRPr="00767050" w:rsidRDefault="00EE0365" w:rsidP="00EE036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【総合評価点　100点】</w:t>
      </w:r>
    </w:p>
    <w:sectPr w:rsidR="00767050" w:rsidRPr="00767050" w:rsidSect="005F16D4">
      <w:pgSz w:w="11907" w:h="16840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5E4A"/>
    <w:multiLevelType w:val="hybridMultilevel"/>
    <w:tmpl w:val="3B522FAC"/>
    <w:lvl w:ilvl="0" w:tplc="4B08F31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E22D9C"/>
    <w:multiLevelType w:val="hybridMultilevel"/>
    <w:tmpl w:val="6A92E01E"/>
    <w:lvl w:ilvl="0" w:tplc="91C0D4E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463319"/>
    <w:multiLevelType w:val="hybridMultilevel"/>
    <w:tmpl w:val="A030F086"/>
    <w:lvl w:ilvl="0" w:tplc="203CF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8F"/>
    <w:rsid w:val="000F5657"/>
    <w:rsid w:val="001521F6"/>
    <w:rsid w:val="00230DAB"/>
    <w:rsid w:val="00283C39"/>
    <w:rsid w:val="002B5BB9"/>
    <w:rsid w:val="002F1C96"/>
    <w:rsid w:val="003642BF"/>
    <w:rsid w:val="004873F4"/>
    <w:rsid w:val="0049662F"/>
    <w:rsid w:val="0055372B"/>
    <w:rsid w:val="005B4E38"/>
    <w:rsid w:val="005F16D4"/>
    <w:rsid w:val="006416CA"/>
    <w:rsid w:val="006B2253"/>
    <w:rsid w:val="00710596"/>
    <w:rsid w:val="00767050"/>
    <w:rsid w:val="0079640E"/>
    <w:rsid w:val="007A77CA"/>
    <w:rsid w:val="007C4763"/>
    <w:rsid w:val="008536C0"/>
    <w:rsid w:val="00865873"/>
    <w:rsid w:val="009A1CD7"/>
    <w:rsid w:val="009B0552"/>
    <w:rsid w:val="00AA1DE0"/>
    <w:rsid w:val="00AB439C"/>
    <w:rsid w:val="00AD6DBA"/>
    <w:rsid w:val="00B15E14"/>
    <w:rsid w:val="00B6103B"/>
    <w:rsid w:val="00B96F47"/>
    <w:rsid w:val="00C65CAB"/>
    <w:rsid w:val="00C858AC"/>
    <w:rsid w:val="00DA1228"/>
    <w:rsid w:val="00E64807"/>
    <w:rsid w:val="00EB43EB"/>
    <w:rsid w:val="00EC258F"/>
    <w:rsid w:val="00EE0365"/>
    <w:rsid w:val="00F07B25"/>
    <w:rsid w:val="00F35F42"/>
    <w:rsid w:val="00F831A6"/>
    <w:rsid w:val="00FA460B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BAEFE"/>
  <w15:chartTrackingRefBased/>
  <w15:docId w15:val="{F55C98EA-A79A-42BD-AE57-C058607F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B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つわの暮らし</dc:creator>
  <cp:keywords/>
  <dc:description/>
  <cp:lastModifiedBy>金山　大将</cp:lastModifiedBy>
  <cp:revision>5</cp:revision>
  <cp:lastPrinted>2022-06-06T07:37:00Z</cp:lastPrinted>
  <dcterms:created xsi:type="dcterms:W3CDTF">2024-06-08T05:48:00Z</dcterms:created>
  <dcterms:modified xsi:type="dcterms:W3CDTF">2026-06-30T06:49:00Z</dcterms:modified>
</cp:coreProperties>
</file>